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50CD1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七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tbl>
      <w:tblPr>
        <w:tblStyle w:val="6"/>
        <w:tblpPr w:leftFromText="180" w:rightFromText="180" w:vertAnchor="text" w:tblpX="10427" w:tblpY="702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</w:tblGrid>
      <w:tr w14:paraId="2332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053" w:type="dxa"/>
          </w:tcPr>
          <w:p w14:paraId="6300F315">
            <w:pPr>
              <w:spacing w:line="240" w:lineRule="auto"/>
              <w:jc w:val="center"/>
              <w:rPr>
                <w:rFonts w:hint="eastAsia" w:ascii="宋体" w:hAnsi="宋体" w:cs="宋体"/>
                <w:b/>
                <w:vertAlign w:val="baseline"/>
                <w:lang w:val="en-US" w:eastAsia="zh-CN"/>
              </w:rPr>
            </w:pPr>
          </w:p>
        </w:tc>
      </w:tr>
      <w:tr w14:paraId="7981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053" w:type="dxa"/>
          </w:tcPr>
          <w:p w14:paraId="5A381D75">
            <w:pPr>
              <w:spacing w:line="240" w:lineRule="auto"/>
              <w:jc w:val="center"/>
              <w:rPr>
                <w:rFonts w:hint="eastAsia" w:ascii="宋体" w:hAnsi="宋体" w:cs="宋体"/>
                <w:b/>
                <w:vertAlign w:val="baseline"/>
                <w:lang w:val="en-US" w:eastAsia="zh-CN"/>
              </w:rPr>
            </w:pPr>
          </w:p>
          <w:p w14:paraId="4858F8ED">
            <w:pPr>
              <w:spacing w:line="240" w:lineRule="auto"/>
              <w:jc w:val="center"/>
              <w:rPr>
                <w:rFonts w:hint="eastAsia" w:ascii="宋体" w:hAnsi="宋体" w:cs="宋体"/>
                <w:b/>
                <w:vertAlign w:val="baseline"/>
                <w:lang w:val="en-US" w:eastAsia="zh-CN"/>
              </w:rPr>
            </w:pPr>
          </w:p>
          <w:p w14:paraId="5431AA9E">
            <w:pPr>
              <w:spacing w:line="240" w:lineRule="auto"/>
              <w:jc w:val="center"/>
              <w:rPr>
                <w:rFonts w:hint="eastAsia" w:ascii="宋体" w:hAnsi="宋体" w:cs="宋体"/>
                <w:b/>
                <w:vertAlign w:val="baseline"/>
                <w:lang w:val="en-US" w:eastAsia="zh-CN"/>
              </w:rPr>
            </w:pPr>
          </w:p>
        </w:tc>
      </w:tr>
    </w:tbl>
    <w:tbl>
      <w:tblPr>
        <w:tblStyle w:val="6"/>
        <w:tblpPr w:leftFromText="180" w:rightFromText="180" w:vertAnchor="text" w:tblpX="10427" w:tblpY="945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</w:tblGrid>
      <w:tr w14:paraId="3B7EA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43" w:type="dxa"/>
          </w:tcPr>
          <w:p w14:paraId="5FAA4BD8">
            <w:pPr>
              <w:spacing w:line="240" w:lineRule="auto"/>
              <w:jc w:val="center"/>
              <w:rPr>
                <w:rFonts w:hint="eastAsia" w:ascii="宋体" w:hAnsi="宋体" w:cs="宋体"/>
                <w:b/>
                <w:vertAlign w:val="baseline"/>
                <w:lang w:val="en-US" w:eastAsia="zh-CN"/>
              </w:rPr>
            </w:pPr>
          </w:p>
        </w:tc>
      </w:tr>
      <w:tr w14:paraId="065FE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43" w:type="dxa"/>
          </w:tcPr>
          <w:p w14:paraId="5F620AC1">
            <w:pPr>
              <w:spacing w:line="240" w:lineRule="auto"/>
              <w:jc w:val="center"/>
              <w:rPr>
                <w:rFonts w:hint="eastAsia" w:ascii="宋体" w:hAnsi="宋体" w:cs="宋体"/>
                <w:b/>
                <w:vertAlign w:val="baseline"/>
                <w:lang w:val="en-US" w:eastAsia="zh-CN"/>
              </w:rPr>
            </w:pPr>
          </w:p>
          <w:p w14:paraId="35B63200">
            <w:pPr>
              <w:spacing w:line="240" w:lineRule="auto"/>
              <w:jc w:val="center"/>
              <w:rPr>
                <w:rFonts w:hint="eastAsia" w:ascii="宋体" w:hAnsi="宋体" w:cs="宋体"/>
                <w:b/>
                <w:vertAlign w:val="baseline"/>
                <w:lang w:val="en-US" w:eastAsia="zh-CN"/>
              </w:rPr>
            </w:pPr>
          </w:p>
        </w:tc>
      </w:tr>
    </w:tbl>
    <w:p w14:paraId="1935B7E5">
      <w:pPr>
        <w:spacing w:line="240" w:lineRule="auto"/>
        <w:jc w:val="center"/>
        <w:rPr>
          <w:rFonts w:hint="eastAsia" w:ascii="宋体" w:hAnsi="宋体" w:eastAsia="宋体" w:cs="宋体"/>
          <w:b/>
          <w:lang w:eastAsia="zh-CN"/>
        </w:rPr>
      </w:pPr>
      <w:r>
        <w:rPr>
          <w:rFonts w:hint="eastAsia" w:ascii="宋体" w:hAnsi="宋体" w:cs="宋体"/>
          <w:b/>
          <w:lang w:val="en-US" w:eastAsia="zh-CN"/>
        </w:rPr>
        <w:t xml:space="preserve">班级：大4班 实施主题：金色的秋天 </w:t>
      </w:r>
      <w:r>
        <w:rPr>
          <w:rFonts w:hint="eastAsia" w:ascii="宋体" w:hAnsi="宋体" w:eastAsia="宋体" w:cs="宋体"/>
          <w:b/>
          <w:lang w:eastAsia="zh-CN"/>
        </w:rPr>
        <w:t>日期:</w:t>
      </w:r>
      <w:r>
        <w:rPr>
          <w:rFonts w:hint="eastAsia" w:ascii="宋体" w:hAnsi="宋体" w:cs="宋体"/>
          <w:b/>
          <w:lang w:val="en-US" w:eastAsia="zh-CN"/>
        </w:rPr>
        <w:t>10</w:t>
      </w:r>
      <w:r>
        <w:rPr>
          <w:rFonts w:hint="eastAsia" w:ascii="宋体" w:hAnsi="宋体" w:eastAsia="宋体" w:cs="宋体"/>
          <w:b/>
          <w:lang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12</w:t>
      </w:r>
      <w:r>
        <w:rPr>
          <w:rFonts w:hint="eastAsia" w:ascii="宋体" w:hAnsi="宋体" w:eastAsia="宋体" w:cs="宋体"/>
          <w:b/>
          <w:lang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>-10</w:t>
      </w:r>
      <w:r>
        <w:rPr>
          <w:rFonts w:hint="eastAsia" w:ascii="宋体" w:hAnsi="宋体" w:eastAsia="宋体" w:cs="宋体"/>
          <w:b/>
          <w:lang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16</w:t>
      </w:r>
      <w:r>
        <w:rPr>
          <w:rFonts w:hint="eastAsia" w:ascii="宋体" w:hAnsi="宋体" w:eastAsia="宋体" w:cs="宋体"/>
          <w:b/>
          <w:lang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lang w:eastAsia="zh-CN"/>
        </w:rPr>
        <w:t>带班老师：</w:t>
      </w:r>
      <w:r>
        <w:rPr>
          <w:rFonts w:hint="eastAsia" w:ascii="宋体" w:hAnsi="宋体" w:cs="宋体"/>
          <w:b/>
          <w:lang w:eastAsia="zh-CN"/>
        </w:rPr>
        <w:t>田、柳老师</w:t>
      </w:r>
    </w:p>
    <w:tbl>
      <w:tblPr>
        <w:tblStyle w:val="5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8"/>
        <w:gridCol w:w="1845"/>
        <w:gridCol w:w="1732"/>
        <w:gridCol w:w="1770"/>
        <w:gridCol w:w="75"/>
        <w:gridCol w:w="1680"/>
      </w:tblGrid>
      <w:tr w14:paraId="020E26C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4B0A6B9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6"/>
            <w:tcBorders>
              <w:right w:val="thickThinSmallGap" w:color="auto" w:sz="24" w:space="0"/>
            </w:tcBorders>
            <w:vAlign w:val="center"/>
          </w:tcPr>
          <w:p w14:paraId="5338FE12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.感受秋天的美，感知身边事物在秋天的变化，并能把自己的发现大胆准确地用语言表达出来。（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293AD06C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引导幼儿知晓秋天是收获的季节，餐桌上的粮食、蔬果都是秋日丰收的成果。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（主题目标）</w:t>
            </w:r>
          </w:p>
          <w:p w14:paraId="4913293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3.了解秋季常见传染病的基础防护方法，做好个人卫生防护。（保育目标）</w:t>
            </w:r>
          </w:p>
          <w:p w14:paraId="41BDD6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4.遵守集体活动常规，保持正确的坐姿与倾听习惯，初步养成规范的学习习惯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（常规目标）</w:t>
            </w:r>
          </w:p>
        </w:tc>
      </w:tr>
      <w:tr w14:paraId="55D8B3D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0865B732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307A1EBD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8" w:type="dxa"/>
            <w:tcBorders>
              <w:right w:val="single" w:color="auto" w:sz="4" w:space="0"/>
            </w:tcBorders>
            <w:vAlign w:val="center"/>
          </w:tcPr>
          <w:p w14:paraId="1EF00C24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84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AD315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7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7BC37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5875AD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55" w:type="dxa"/>
            <w:gridSpan w:val="2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316EAD29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日</w:t>
            </w:r>
          </w:p>
        </w:tc>
      </w:tr>
      <w:tr w14:paraId="1990394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2C9889D2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4A75C37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6"/>
            <w:vAlign w:val="center"/>
          </w:tcPr>
          <w:p w14:paraId="768B790C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热情接待幼儿，</w:t>
            </w:r>
            <w:r>
              <w:rPr>
                <w:rFonts w:hint="eastAsia" w:ascii="宋体" w:hAnsi="宋体"/>
                <w:szCs w:val="21"/>
                <w:lang w:eastAsia="zh-CN"/>
              </w:rPr>
              <w:t>与幼儿打招呼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或者引导幼儿进行同伴间互动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316E415A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  <w:lang w:eastAsia="zh-CN"/>
              </w:rPr>
              <w:t>进行二次晨检，了解幼儿身体情况及检查幼儿口袋是否有小玩具等物品。</w:t>
            </w:r>
          </w:p>
        </w:tc>
      </w:tr>
      <w:tr w14:paraId="40DFB91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78A302C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61E9F2EB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6"/>
            <w:vAlign w:val="center"/>
          </w:tcPr>
          <w:p w14:paraId="71A58AB5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：按时入园，坚持签到。</w:t>
            </w:r>
          </w:p>
          <w:p w14:paraId="6298136D">
            <w:pPr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美工区：提供橙色、金黄色、红色颜料、超轻粘土、卡纸、皱纹纸、剪刀、胶水、果柄贴纸等材料，投放橘子、柿子、秋叶、秋日果实等高清参考图。</w:t>
            </w:r>
          </w:p>
          <w:p w14:paraId="4E1A6B6B">
            <w:pPr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益智区：收集真实梧桐叶、枫叶、银杏叶等各类秋日落叶，搭配果实卡片、颜色分类盘、形状底板、数字点卡、季节对比图。引导幼儿自主观察落叶的颜色、形状、大小差异，按照不同标准进行分类、排序、点数，尝试完成10以内数量匹配，同时对比春夏树叶与秋日树叶的不同，直观感知秋天植物的变化，巩固分类、计数的数学能力。</w:t>
            </w:r>
          </w:p>
          <w:p w14:paraId="1C2BB1EC">
            <w:pPr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lang w:val="en-US" w:eastAsia="zh-CN"/>
              </w:rPr>
              <w:t>：秋天的果实；美丽的秋天；秋天的秘密。</w:t>
            </w:r>
          </w:p>
        </w:tc>
      </w:tr>
      <w:tr w14:paraId="6457096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6ED159A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4791E0D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6"/>
            <w:vAlign w:val="center"/>
          </w:tcPr>
          <w:p w14:paraId="37E310D5">
            <w:pPr>
              <w:spacing w:line="288" w:lineRule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尝试在教师带领下站成松散的队伍，知道排队是跟着前面的人走。</w:t>
            </w:r>
          </w:p>
          <w:p w14:paraId="0168C98F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  <w:lang w:val="en-US" w:eastAsia="zh-CN"/>
              </w:rPr>
              <w:t>愿意跟着教师和同伴一起站到早操场地。不抗拒参与律动和早操活动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62AE155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102233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37BB118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8" w:type="dxa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71ECFC35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集体游戏：糖葫芦</w:t>
            </w:r>
          </w:p>
          <w:p w14:paraId="56EB6EC2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(探险2区）</w:t>
            </w:r>
          </w:p>
          <w:p w14:paraId="7787450B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/>
              </w:rPr>
              <w:t>平衡、翻越</w:t>
            </w:r>
          </w:p>
        </w:tc>
        <w:tc>
          <w:tcPr>
            <w:tcW w:w="1845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7CB630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7005F530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集体游戏：锥桶赛</w:t>
            </w:r>
          </w:p>
          <w:p w14:paraId="0D8E53DC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(综合2区）</w:t>
            </w:r>
          </w:p>
          <w:p w14:paraId="72E2DC07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/>
              </w:rPr>
              <w:t>运球</w:t>
            </w:r>
          </w:p>
        </w:tc>
        <w:tc>
          <w:tcPr>
            <w:tcW w:w="1845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A6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</w:p>
          <w:p w14:paraId="5DA14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680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15625CF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集体游戏：糖葫芦</w:t>
            </w:r>
          </w:p>
          <w:p w14:paraId="0DDA7219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(探险2区）</w:t>
            </w:r>
          </w:p>
          <w:p w14:paraId="7A4E08AF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/>
              </w:rPr>
              <w:t>平衡、翻越</w:t>
            </w:r>
          </w:p>
        </w:tc>
      </w:tr>
      <w:tr w14:paraId="2DE057E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40E326B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613AD234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8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C1BC83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分散活动：重点指导幼儿翻阅轮胎山</w:t>
            </w:r>
          </w:p>
        </w:tc>
        <w:tc>
          <w:tcPr>
            <w:tcW w:w="184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F74047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382F1DD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分散活动：重点指导双脚灵活运球</w:t>
            </w:r>
          </w:p>
        </w:tc>
        <w:tc>
          <w:tcPr>
            <w:tcW w:w="184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A1310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C3FDD5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分散活动：重点指导幼儿翻阅轮胎山</w:t>
            </w:r>
          </w:p>
        </w:tc>
      </w:tr>
      <w:tr w14:paraId="34DA29E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0FC44EB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42A1841F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78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1BB2A1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语言：秋天的雨</w:t>
            </w:r>
          </w:p>
          <w:p w14:paraId="11DF71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/>
              </w:rPr>
              <w:t>感受散文诗</w:t>
            </w:r>
          </w:p>
        </w:tc>
        <w:tc>
          <w:tcPr>
            <w:tcW w:w="1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A89E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音乐：大自然多美好</w:t>
            </w:r>
          </w:p>
          <w:p w14:paraId="524D0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/>
              </w:rPr>
              <w:t>掌握歌曲节奏</w:t>
            </w:r>
          </w:p>
        </w:tc>
        <w:tc>
          <w:tcPr>
            <w:tcW w:w="1732" w:type="dxa"/>
            <w:tcBorders>
              <w:left w:val="single" w:color="auto" w:sz="8" w:space="0"/>
            </w:tcBorders>
            <w:vAlign w:val="center"/>
          </w:tcPr>
          <w:p w14:paraId="4B29E0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综合：我们在金色的秋天里</w:t>
            </w:r>
          </w:p>
          <w:p w14:paraId="04DD0E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/>
              </w:rPr>
              <w:t>感受秋天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3A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美术：橘子红了</w:t>
            </w:r>
          </w:p>
          <w:p w14:paraId="61FC71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/>
              </w:rPr>
              <w:t>尝试撕纸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1A7E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数学：落叶分类</w:t>
            </w:r>
          </w:p>
          <w:p w14:paraId="397C64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/>
              </w:rPr>
              <w:t>区分特征</w:t>
            </w:r>
          </w:p>
        </w:tc>
      </w:tr>
      <w:tr w14:paraId="690EA27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BA8BF1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10B559A0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78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F2AF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  <w:tc>
          <w:tcPr>
            <w:tcW w:w="1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9880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34F5F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59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41E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</w:tr>
      <w:tr w14:paraId="46012A4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593FBF24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4D4BD39D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78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7A42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图书室</w:t>
            </w:r>
          </w:p>
        </w:tc>
        <w:tc>
          <w:tcPr>
            <w:tcW w:w="184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DF03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科发室</w:t>
            </w: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666E47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创意社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B55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快乐骑行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7C69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户外建构</w:t>
            </w:r>
          </w:p>
        </w:tc>
      </w:tr>
      <w:tr w14:paraId="034D6BE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6D5BB74C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6"/>
            <w:tcBorders>
              <w:bottom w:val="single" w:color="auto" w:sz="4" w:space="0"/>
            </w:tcBorders>
            <w:vAlign w:val="center"/>
          </w:tcPr>
          <w:p w14:paraId="1F248CDA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1.在进餐、点心环节，教育幼儿不挑食、不浪费粮食，珍惜秋日劳动成果，养成爱惜粮食、文明进餐的好习惯。</w:t>
            </w:r>
            <w:bookmarkStart w:id="0" w:name="_GoBack"/>
            <w:bookmarkEnd w:id="0"/>
          </w:p>
          <w:p w14:paraId="5B1E431D">
            <w:pPr>
              <w:numPr>
                <w:ilvl w:val="0"/>
                <w:numId w:val="0"/>
              </w:numPr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2.观察园内树木、花草、天气的变化，捡拾不同的落叶，对比初秋、深秋的景物差异，直观感受秋季的季节特征，呼应科学课程知识点。</w:t>
            </w:r>
          </w:p>
        </w:tc>
      </w:tr>
      <w:tr w14:paraId="7AA1286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EC90255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95F349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color w:val="C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1.家长和幼儿共同搜集植物种子的实物及相关图片，结合日常的家庭生活，引导幼儿感受种子与人们生活的密切关系。</w:t>
            </w:r>
          </w:p>
          <w:p w14:paraId="7C34E646">
            <w:pPr>
              <w:numPr>
                <w:ilvl w:val="0"/>
                <w:numId w:val="0"/>
              </w:numPr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2.鼓励家长多和孩子一起出去散步、郊游，引导幼儿注意观察大自然，感受秋天的美</w:t>
            </w:r>
            <w:r>
              <w:rPr>
                <w:rFonts w:hint="eastAsia" w:ascii="宋体" w:hAnsi="宋体" w:cs="宋体"/>
                <w:lang w:val="en-US" w:eastAsia="zh-CN"/>
              </w:rPr>
              <w:t>。</w:t>
            </w:r>
          </w:p>
        </w:tc>
      </w:tr>
      <w:tr w14:paraId="4D57940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3D9FA6E5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E98A74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Cs w:val="21"/>
                <w:lang w:val="en-US" w:eastAsia="zh-CN"/>
              </w:rPr>
              <w:t>布置“金色的秋天“课程海报，展示幼儿作品以及寻秋照片等。</w:t>
            </w:r>
          </w:p>
        </w:tc>
      </w:tr>
      <w:tr w14:paraId="26C9DBB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02AA715D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</w:tcBorders>
            <w:vAlign w:val="center"/>
          </w:tcPr>
          <w:p w14:paraId="3706D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eastAsia="宋体"/>
                <w:szCs w:val="21"/>
                <w:lang w:eastAsia="zh-CN"/>
              </w:rPr>
            </w:pPr>
          </w:p>
        </w:tc>
      </w:tr>
    </w:tbl>
    <w:p w14:paraId="11DB08D5">
      <w:pPr>
        <w:jc w:val="center"/>
        <w:rPr>
          <w:rFonts w:hint="eastAsia" w:ascii="锐字温帅小可爱简" w:hAnsi="锐字温帅小可爱简" w:eastAsia="锐字温帅小可爱简" w:cs="锐字温帅小可爱简"/>
          <w:b/>
          <w:bCs w:val="0"/>
          <w:sz w:val="72"/>
          <w:szCs w:val="72"/>
          <w:lang w:val="en-US" w:eastAsia="zh-CN"/>
        </w:rPr>
      </w:pPr>
      <w:r>
        <w:rPr>
          <w:rFonts w:hint="eastAsia" w:ascii="OS小狗笨笨黑体" w:hAnsi="OS小狗笨笨黑体" w:eastAsia="OS小狗笨笨黑体" w:cs="OS小狗笨笨黑体"/>
          <w:b/>
          <w:bCs w:val="0"/>
          <w:sz w:val="72"/>
          <w:szCs w:val="72"/>
          <w:lang w:val="en-US" w:eastAsia="zh-CN"/>
        </w:rPr>
        <w:t>表扬栏</w:t>
      </w:r>
    </w:p>
    <w:p w14:paraId="03E91558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>表扬本周积极举手发言的小朋友：</w:t>
      </w:r>
    </w:p>
    <w:p w14:paraId="34294CC9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刘研李 刘柏睿 高张 杨瑾承 沈洺亦 </w:t>
      </w:r>
    </w:p>
    <w:p w14:paraId="2A395912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顾庭谷 陈阊屹 胡锦一  吴姜 赵珈伊 </w:t>
      </w:r>
    </w:p>
    <w:p w14:paraId="1D60E518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刘云舒 吴沐阳 张沐宸 胡可芯 朱梓萌 </w:t>
      </w:r>
    </w:p>
    <w:p w14:paraId="7287789A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587" w:right="1361" w:bottom="1474" w:left="1587" w:header="454" w:footer="454" w:gutter="0"/>
          <w:cols w:space="425" w:num="1"/>
          <w:docGrid w:type="lines" w:linePitch="312" w:charSpace="0"/>
        </w:sect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>明颀锦 赵知雨 汪诺一 陆伊橙 陆伊柠</w:t>
      </w:r>
    </w:p>
    <w:p w14:paraId="268960E6">
      <w:pPr>
        <w:spacing w:line="360" w:lineRule="auto"/>
        <w:jc w:val="center"/>
        <w:rPr>
          <w:rFonts w:ascii="微软雅黑" w:hAnsi="微软雅黑" w:eastAsia="宋体" w:cs="微软雅黑"/>
          <w:color w:val="333333"/>
          <w:sz w:val="40"/>
          <w:shd w:val="clear" w:color="auto" w:fill="FFFFFF"/>
        </w:rPr>
      </w:pPr>
      <w:r>
        <w:rPr>
          <w:rFonts w:hint="eastAsia" w:ascii="微软雅黑" w:hAnsi="微软雅黑" w:eastAsia="宋体" w:cs="微软雅黑"/>
          <w:color w:val="333333"/>
          <w:sz w:val="40"/>
          <w:shd w:val="clear" w:color="auto" w:fill="FFFFFF"/>
        </w:rPr>
        <w:t>科学育儿——</w:t>
      </w:r>
      <w:r>
        <w:rPr>
          <w:rFonts w:ascii="微软雅黑" w:hAnsi="微软雅黑" w:eastAsia="宋体" w:cs="微软雅黑"/>
          <w:color w:val="333333"/>
          <w:sz w:val="40"/>
          <w:shd w:val="clear" w:color="auto" w:fill="FFFFFF"/>
        </w:rPr>
        <w:t>预防</w:t>
      </w:r>
      <w:r>
        <w:rPr>
          <w:rFonts w:hint="eastAsia" w:ascii="微软雅黑" w:hAnsi="微软雅黑" w:eastAsia="宋体" w:cs="微软雅黑"/>
          <w:color w:val="333333"/>
          <w:sz w:val="40"/>
          <w:shd w:val="clear" w:color="auto" w:fill="FFFFFF"/>
          <w:lang w:eastAsia="zh-CN"/>
        </w:rPr>
        <w:t>秋</w:t>
      </w:r>
      <w:r>
        <w:rPr>
          <w:rFonts w:ascii="微软雅黑" w:hAnsi="微软雅黑" w:eastAsia="宋体" w:cs="微软雅黑"/>
          <w:color w:val="333333"/>
          <w:sz w:val="40"/>
          <w:shd w:val="clear" w:color="auto" w:fill="FFFFFF"/>
        </w:rPr>
        <w:t>季传染病</w:t>
      </w:r>
    </w:p>
    <w:p w14:paraId="7D8F5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★秋季常见传染病的预防措施：</w:t>
      </w:r>
    </w:p>
    <w:p w14:paraId="2D88F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勤洗手</w:t>
      </w:r>
    </w:p>
    <w:p w14:paraId="5E95A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勤洗手是预防流感等呼吸道传染病的重要措施。提倡勤洗手，尤其是在咳嗽或打喷嚏后、就餐前或接触污染环境后要洗手。</w:t>
      </w:r>
    </w:p>
    <w:p w14:paraId="1610D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保持环境清洁和通风</w:t>
      </w:r>
    </w:p>
    <w:p w14:paraId="5A780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保持家环境清洁和良好通风状态。经常打扫室内，每天保证一定时间的开窗通风。</w:t>
      </w:r>
    </w:p>
    <w:p w14:paraId="7A82A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天气变化多端，注意及时增减衣物</w:t>
      </w:r>
    </w:p>
    <w:p w14:paraId="6225A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秋季幼儿衣服的增减要适当，并且及时根据天气状况调整。注意孩子运动后出汗较多容易着凉现象。</w:t>
      </w:r>
    </w:p>
    <w:p w14:paraId="5E8CF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尽量减少到人群密集场所活动</w:t>
      </w:r>
    </w:p>
    <w:p w14:paraId="4AD77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避免接触感染患者 在呼吸道传染病高发季节，尽量少去人群密集的公共场所，以减少可能与患病人群的接触机会。尽量避免接触呼吸道感染患者，平时要佩戴口罩。</w:t>
      </w:r>
    </w:p>
    <w:p w14:paraId="1F3A8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保持良好的卫生习惯</w:t>
      </w:r>
    </w:p>
    <w:p w14:paraId="126DA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咳嗽或打喷嚏时，用纸巾、毛巾等遮住口鼻，咳嗽或打喷嚏后洗手，尽量避免触摸眼睛、鼻或口。</w:t>
      </w:r>
    </w:p>
    <w:p w14:paraId="2C2F7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出现症状应居家休息，及早就医</w:t>
      </w:r>
    </w:p>
    <w:p w14:paraId="1F103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一旦出现孩子发热、咳嗽等症状，应让他在家休息。在公共场所要佩戴口罩，避免将病毒传染给其他人员。如症状较重，应尽早前往医院就诊，以及时获得有效治疗。</w:t>
      </w:r>
    </w:p>
    <w:p w14:paraId="4DC53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及时接种相关疫苗</w:t>
      </w:r>
    </w:p>
    <w:p w14:paraId="117B2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常见的传染病现在一般都有疫苗，及时接种疫苗是阻击传染病发生的最佳手段。</w:t>
      </w:r>
    </w:p>
    <w:p w14:paraId="1CB48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★秋季饮食注意事项：</w:t>
      </w:r>
    </w:p>
    <w:p w14:paraId="0FCEC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保证钙质的充足供应</w:t>
      </w:r>
    </w:p>
    <w:p w14:paraId="4F1EC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秋天是孩子长个的好季节，孩子长高主要是骨骼发育的结果。骨的主要成分是钙。含钙丰富的食物有牛奶、肉类、虾皮、芝麻、海带等。不能让孩子多吃糖、巧克力、甜饮料，因为里面含有较多的磷酸盐，能阻碍钙在体内吸收代谢。</w:t>
      </w:r>
    </w:p>
    <w:p w14:paraId="27FD2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多补充维生素C</w:t>
      </w:r>
    </w:p>
    <w:p w14:paraId="0C41E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维生素C能提高免疫力和抗病能力，对孩子的身体有很重要的作用。尽量多吃些含维生素C的蔬菜和水果。如：柑橘、苹果、西红柿、青菜、大枣等。</w:t>
      </w:r>
    </w:p>
    <w:p w14:paraId="694BF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✔ 多吃粗粮、杂粮有好处</w:t>
      </w:r>
    </w:p>
    <w:p w14:paraId="305CE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粗粮、杂粮能给人体补充微量元素、各种维生素和纤维素，可以多食用粗、杂粮，如玉米、小米、山芋、干豆等。</w:t>
      </w:r>
    </w:p>
    <w:p w14:paraId="44102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587" w:right="1361" w:bottom="1474" w:left="1587" w:header="454" w:footer="45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锐字温帅小可爱简">
    <w:panose1 w:val="02010604000000000000"/>
    <w:charset w:val="86"/>
    <w:family w:val="auto"/>
    <w:pitch w:val="default"/>
    <w:sig w:usb0="00000003" w:usb1="080E0000" w:usb2="00000000" w:usb3="00000000" w:csb0="00040001" w:csb1="00000000"/>
    <w:embedRegular r:id="rId1" w:fontKey="{7088F7B1-BA44-45EC-BBE5-CD626E8EDB02}"/>
  </w:font>
  <w:font w:name="OS小狗笨笨黑体">
    <w:altName w:val="黑体"/>
    <w:panose1 w:val="02000503000000000000"/>
    <w:charset w:val="86"/>
    <w:family w:val="auto"/>
    <w:pitch w:val="default"/>
    <w:sig w:usb0="00000000" w:usb1="00000000" w:usb2="00000012" w:usb3="00000000" w:csb0="00040001" w:csb1="00000000"/>
    <w:embedRegular r:id="rId2" w:fontKey="{9AC64A49-1B9E-425B-97B3-7CDF9B48B5E9}"/>
  </w:font>
  <w:font w:name="糯米奶团体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3" w:fontKey="{DE553E6E-9C08-4B07-B6E2-36CE97DBC49A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4" w:fontKey="{4ED29E01-F067-4398-84B1-7127BCEB38DD}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0CC3A">
    <w:pPr>
      <w:pStyle w:val="2"/>
      <w:jc w:val="center"/>
    </w:pPr>
    <w:r>
      <w:rPr>
        <w:rFonts w:hint="eastAsia"/>
      </w:rPr>
      <w:t>悦·童年  活·教育</w:t>
    </w:r>
  </w:p>
  <w:p w14:paraId="242E4BC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B27A9">
    <w:r>
      <w:rPr>
        <w:rFonts w:hint="eastAsi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22225" b="22225"/>
          <wp:wrapNone/>
          <wp:docPr id="22" name="图片 22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2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828088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5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0288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tSBWnYAAAACQEAAA8AAAAAAAAAAQAgAAAA&#10;IgAAAGRycy9kb3ducmV2LnhtbFBLAQIUABQAAAAIAIdO4kAre0FJ0gEAAI0DAAAOAAAAAAAAAAEA&#10;IAAAACcBAABkcnMvZTJvRG9jLnhtbFBLBQYAAAAABgAGAFkBAABrBQAAAAA=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  <w:p w14:paraId="4EB2D91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DC82C9"/>
    <w:rsid w:val="0EFE5203"/>
    <w:rsid w:val="3CEF2D33"/>
    <w:rsid w:val="40F07AC4"/>
    <w:rsid w:val="416A0352"/>
    <w:rsid w:val="5C366DE5"/>
    <w:rsid w:val="6CFE17CB"/>
    <w:rsid w:val="77DC82C9"/>
    <w:rsid w:val="7DA42527"/>
    <w:rsid w:val="7F7C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6"/>
      <w:szCs w:val="26"/>
      <w:lang w:val="en-US" w:eastAsia="zh-CN" w:bidi="ar"/>
    </w:rPr>
  </w:style>
  <w:style w:type="paragraph" w:customStyle="1" w:styleId="9">
    <w:name w:val="p2"/>
    <w:basedOn w:val="1"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6"/>
      <w:szCs w:val="26"/>
      <w:lang w:val="en-US" w:eastAsia="zh-CN" w:bidi="ar"/>
    </w:rPr>
  </w:style>
  <w:style w:type="character" w:customStyle="1" w:styleId="10">
    <w:name w:val="s1"/>
    <w:basedOn w:val="7"/>
    <w:uiPriority w:val="0"/>
    <w:rPr>
      <w:rFonts w:ascii="Helvetica Neue" w:hAnsi="Helvetica Neue" w:eastAsia="Helvetica Neue" w:cs="Helvetica Neue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1969</Words>
  <Characters>1993</Characters>
  <Lines>0</Lines>
  <Paragraphs>0</Paragraphs>
  <TotalTime>9</TotalTime>
  <ScaleCrop>false</ScaleCrop>
  <LinksUpToDate>false</LinksUpToDate>
  <CharactersWithSpaces>2034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2026-09-27T17:22:00Z</dcterms:created>
  <dc:creator>DBAXWZ_zz</dc:creator>
  <cp:lastModifiedBy>DBAXWZ_zz</cp:lastModifiedBy>
  <dcterms:modified xsi:type="dcterms:W3CDTF">2026-10-10T05:12:02Z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0F3A928B6278470797A045F7DE567719_13</vt:lpwstr>
  </property>
  <property fmtid="{D5CDD505-2E9C-101B-9397-08002B2CF9AE}" pid="4" name="KSOTemplateDocerSaveRecord">
    <vt:lpwstr>eyJoZGlkIjoiOGQ4ZWJjNjI2ZWIzODdkZjQwM2QxZjgwN2Q2NDk3MDciLCJ1c2VySWQiOiIyODc0ODUyMjIifQ==</vt:lpwstr>
  </property>
</Properties>
</file>