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五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  实施主题：宝宝真能干   日期:9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28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—9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30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bookmarkStart w:id="6" w:name="_GoBack"/>
            <w:bookmarkEnd w:id="6"/>
            <w:r>
              <w:rPr>
                <w:rFonts w:hint="eastAsia" w:ascii="宋体" w:hAnsi="宋体"/>
                <w:sz w:val="24"/>
              </w:rPr>
              <w:t>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107F3E3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bookmarkStart w:id="1" w:name="OLE_LINK4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乐意参加户外活动，在玩大型玩具当中，能遵守活动规则，注意安全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1FDC332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bookmarkStart w:id="2" w:name="OLE_LINK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欢玩玩具，知道幼儿园的玩具是大家的，乐意与同伴共同玩。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3CDD659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离园时能够记得将自己的小椅子放回位置，将小水杯和书包整理好。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2A5A856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4.能够适应适应集体生活，逐步形成基本常规，遵守游戏规则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  <w:bookmarkEnd w:id="0"/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3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3"/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  <w:t>娃娃家：提供一些妈妈的围裙、爸爸的领带，宝宝小时候用的小奶瓶、小衣服、小杯子、电话、小推车等材料，引导幼儿照顾宝宝。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美工区：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  <w:t>毛线团：提供油画棒和A4铅画纸，让幼儿用线条涂鸦的方式画毛线。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：分享玩具、初步了解国庆、中秋等。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4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4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57543FF9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集体游戏：猴子爬藤</w:t>
            </w:r>
          </w:p>
          <w:p w14:paraId="4EDC8CAB">
            <w:pPr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探险1区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）</w:t>
            </w:r>
          </w:p>
          <w:p w14:paraId="5FACA0BD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F18E18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集体游戏：过独木桥</w:t>
            </w:r>
          </w:p>
          <w:p w14:paraId="709B6874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（探险2区）</w:t>
            </w:r>
          </w:p>
          <w:p w14:paraId="7C879611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平举过独木桥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31E7C32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集体游戏：钻山洞</w:t>
            </w:r>
          </w:p>
          <w:p w14:paraId="61E87B4A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（综合2区）</w:t>
            </w:r>
          </w:p>
          <w:p w14:paraId="2F588341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匍匐过障碍</w:t>
            </w:r>
          </w:p>
        </w:tc>
        <w:tc>
          <w:tcPr>
            <w:tcW w:w="36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2FCB850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国庆放假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75282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平稳走过独木桥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一对一传球</w:t>
            </w: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6104850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bookmarkEnd w:id="5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06E6FF5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玩具少了怎么办</w:t>
            </w:r>
          </w:p>
          <w:p w14:paraId="4EA7AF74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了解朋友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3AAD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健康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橡皮膏小熊</w:t>
            </w:r>
          </w:p>
          <w:p w14:paraId="60816E3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正确漱口</w:t>
            </w:r>
          </w:p>
        </w:tc>
        <w:tc>
          <w:tcPr>
            <w:tcW w:w="1734" w:type="dxa"/>
            <w:vMerge w:val="restart"/>
            <w:tcBorders>
              <w:left w:val="single" w:color="auto" w:sz="8" w:space="0"/>
            </w:tcBorders>
            <w:vAlign w:val="center"/>
          </w:tcPr>
          <w:p w14:paraId="6979FF5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满月礼</w:t>
            </w: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CABAF7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vMerge w:val="continue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创意社：重点指导垒高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户外建构：重点指导平铺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安静阅读</w:t>
            </w: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8EC6770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继续鼓励幼儿能主动向老师问早，问早的时候眼睛要看着老师。</w:t>
            </w:r>
          </w:p>
          <w:p w14:paraId="7FDEC52D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鼓励幼儿自己进餐，不挑食、不浪费。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FA703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请家长在家中经常与孩子谈论幼儿园生活中有趣的事（教师要向家长及时反馈这些事），与孩子一起玩模拟幼儿园生活、活动的游戏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E22C218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鼓励同班的家长、幼儿共同游戏，可利用双休日结伴出游，或邀请小组同伴来家做客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598A9">
            <w:pPr>
              <w:numPr>
                <w:ilvl w:val="0"/>
                <w:numId w:val="0"/>
              </w:numPr>
              <w:spacing w:line="288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.张贴儿童可以看懂的、图文并茂的一日作息时间表，帮助幼儿建立初步的秩序感，感受幼儿园活动的有序和丰富。</w:t>
            </w:r>
          </w:p>
          <w:p w14:paraId="2E726270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引导幼儿熟悉每个区域的标记、材料及玩法，鼓励幼儿去不同的区域体验游戏的快乐。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34AFF497">
      <w:pPr>
        <w:tabs>
          <w:tab w:val="left" w:pos="5441"/>
        </w:tabs>
        <w:bidi w:val="0"/>
        <w:jc w:val="left"/>
        <w:rPr>
          <w:rFonts w:hint="default"/>
          <w:lang w:val="en-US" w:eastAsia="zh-CN"/>
        </w:rPr>
      </w:pP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表扬认真阅读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高颜可、丁云泽、司婉清、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尤晞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、赵丞祐、宋齐光、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表扬认真阅读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高颜可、丁云泽、司婉清、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尤晞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、赵丞祐、宋齐光、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ACB31F7"/>
    <w:rsid w:val="FDBF8018"/>
    <w:rsid w:val="FFF4C536"/>
    <w:rsid w:val="FFF79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33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2021-02-02T22:36:00Z</dcterms:created>
  <dc:creator>小波罗</dc:creator>
  <cp:lastModifiedBy>懂</cp:lastModifiedBy>
  <dcterms:modified xsi:type="dcterms:W3CDTF">2025-09-27T12:47:41Z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6D76E3673C07F1CF4F6BD7680724D4B5_43</vt:lpwstr>
  </property>
</Properties>
</file>