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eastAsia="zh-CN"/>
        </w:rPr>
        <w:t>十八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夏天真快乐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6月5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、蒋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2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1.感知夏季的主要特征：天气热，多雨等，认识一些夏季常见的瓜果。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2.学习玩接龙游戏，能将相同的水果图案头尾相接。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3.乐意参与表演，体验表演活动的快乐。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4.知道基本的饮食卫生习惯常识，有良好的个人卫生习惯。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来园接待：热情接待幼儿来园，与幼儿有礼貌地打招呼，并进行区域插卡。</w:t>
            </w:r>
          </w:p>
          <w:p>
            <w:pPr>
              <w:rPr>
                <w:rFonts w:hint="eastAsia" w:asci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2.区域游戏：美工区提供油泥、纸盘，引导幼儿运用团圆、压、搓等方法制作夏季的水果。阅读区提供夏季相关的绘本，引导幼儿自主翻阅、讲述。益智区根据小动物想吃的葡萄多少，正确分葡萄。</w:t>
            </w:r>
          </w:p>
          <w:p>
            <w:pPr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3.晨间谈话：夏季的特征；夏季瓜果。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4.其他：在区域游戏时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引导幼儿安静地活动，不大声喧哗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不争抢玩具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能跟随音乐自由律动，早操时动作协调灵活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请动作有力的幼儿领操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3.分散活动：有秩序地活动，注意</w:t>
            </w:r>
            <w:r>
              <w:rPr>
                <w:rFonts w:ascii="宋体" w:hAnsi="宋体" w:eastAsia="宋体" w:cs="Times New Roman"/>
                <w:szCs w:val="21"/>
              </w:rPr>
              <w:t>不碰撞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Times New Roman"/>
                <w:szCs w:val="21"/>
              </w:rPr>
              <w:t>不推挤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不串区域。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攀爬区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（综攀爬）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综合1区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（综合）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球区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（拍）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跨跳区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（跨跳）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综合2区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（综合）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洗澡水变成汤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（语言）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水果接龙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（数学）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夏天的冷饮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（综合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干净食物人人爱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美味冰淇淋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（美术）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户外学生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创意社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户外建构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快乐骑行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玩沙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户外娃娃家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1.午餐后，幼儿可以坐在室内阴凉的地方看看图书，摇摇自己制作的小扇子。 </w:t>
            </w:r>
          </w:p>
          <w:p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2.引导幼儿与同伴一起讲述夏日喜欢干什么。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1.鼓励家长在夏季带领孩子做喜欢的活动和游戏,如戏水,可以品尝各种各样的瓜果和泠饮,感知与体验夏季是一个快乐的季节。</w:t>
            </w:r>
          </w:p>
          <w:p>
            <w:pPr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2.对幼儿进行节约用水，夏季安全，用电安全等方面的教育。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布置与主题活动相对应的主题墙饰。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8"/>
        </w:rPr>
      </w:pPr>
    </w:p>
    <w:sectPr>
      <w:pgSz w:w="11906" w:h="16838"/>
      <w:pgMar w:top="1587" w:right="136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TQ5NDUwMTdkYjY3NmFiYmUyMGVmZmQxMDMxMzcifQ=="/>
  </w:docVars>
  <w:rsids>
    <w:rsidRoot w:val="00191C4C"/>
    <w:rsid w:val="00191C4C"/>
    <w:rsid w:val="29FC2E5D"/>
    <w:rsid w:val="47076901"/>
    <w:rsid w:val="56D3397F"/>
    <w:rsid w:val="706A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760</Characters>
  <Lines>0</Lines>
  <Paragraphs>0</Paragraphs>
  <TotalTime>290</TotalTime>
  <ScaleCrop>false</ScaleCrop>
  <LinksUpToDate>false</LinksUpToDate>
  <CharactersWithSpaces>771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2023-06-01T23:56:00Z</dcterms:created>
  <dc:creator>Lenovo</dc:creator>
  <cp:lastModifiedBy>Jessica_Chiang</cp:lastModifiedBy>
  <dcterms:modified xsi:type="dcterms:W3CDTF">2023-06-09T06:04:48Z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7492B25BEA1240A2B10E1B6C84446CD9_13</vt:lpwstr>
  </property>
</Properties>
</file>